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120" w:before="0" w:line="252" w:lineRule="auto"/>
      </w:pPr>
      <w:r>
        <w:rPr>
          <w:rFonts w:ascii="Calibri" w:hAnsi="Calibri"/>
          <w:b/>
          <w:color w:val="000000"/>
          <w:sz w:val="26"/>
        </w:rPr>
        <w:t>THE AUXILIUM FIRM</w:t>
      </w:r>
    </w:p>
    <w:p>
      <w:pPr>
        <w:pStyle w:val="Title"/>
        <w:widowControl/>
        <w:spacing w:after="120" w:before="0" w:line="252" w:lineRule="auto"/>
      </w:pPr>
      <w:r>
        <w:rPr>
          <w:rFonts w:ascii="Calibri" w:hAnsi="Calibri"/>
          <w:b/>
          <w:color w:val="000000"/>
          <w:sz w:val="36"/>
        </w:rPr>
        <w:t>Professional Tax Office Mock Audit Service Agreement</w:t>
      </w:r>
    </w:p>
    <w:p>
      <w:pPr>
        <w:widowControl/>
        <w:spacing w:after="120" w:before="0" w:line="252" w:lineRule="auto"/>
      </w:pPr>
      <w:r>
        <w:rPr>
          <w:rFonts w:ascii="Calibri" w:hAnsi="Calibri"/>
          <w:color w:val="000000"/>
          <w:sz w:val="21"/>
        </w:rPr>
        <w:t>Agreement date: __________   Client legal name: ______________________________________________</w:t>
      </w:r>
    </w:p>
    <w:p>
      <w:pPr>
        <w:widowControl/>
        <w:spacing w:after="120" w:before="0" w:line="252" w:lineRule="auto"/>
      </w:pPr>
      <w:r>
        <w:rPr>
          <w:rFonts w:ascii="Calibri" w:hAnsi="Calibri"/>
          <w:color w:val="000000"/>
          <w:sz w:val="21"/>
        </w:rPr>
        <w:t>Business address: _______________________________________________________________________</w:t>
      </w:r>
    </w:p>
    <w:p>
      <w:pPr>
        <w:widowControl/>
        <w:spacing w:after="120" w:before="0" w:line="252" w:lineRule="auto"/>
      </w:pPr>
      <w:r>
        <w:rPr>
          <w:rFonts w:ascii="Calibri" w:hAnsi="Calibri"/>
          <w:color w:val="000000"/>
          <w:sz w:val="21"/>
        </w:rPr>
        <w:t>Contact name / email: ___________________________________________________________________</w:t>
      </w:r>
    </w:p>
    <w:p>
      <w:pPr>
        <w:pStyle w:val="Heading1"/>
        <w:widowControl/>
        <w:spacing w:after="120" w:before="160" w:line="252" w:lineRule="auto"/>
      </w:pPr>
      <w:r>
        <w:rPr>
          <w:rFonts w:ascii="Calibri" w:hAnsi="Calibri"/>
          <w:b/>
          <w:color w:val="000000"/>
          <w:sz w:val="24"/>
        </w:rPr>
        <w:t>1. Selected service and fees</w:t>
      </w:r>
    </w:p>
    <w:tbl>
      <w:tblPr>
        <w:tblStyle w:val="LightShading-Accent1"/>
        <w:tblW w:type="auto" w:w="0"/>
        <w:tblLayout w:type="fixed"/>
        <w:tblLook w:firstColumn="1" w:firstRow="1" w:lastColumn="0" w:lastRow="0" w:noHBand="0" w:noVBand="1" w:val="04A0"/>
      </w:tblPr>
      <w:tblGrid>
        <w:gridCol w:w="720"/>
        <w:gridCol w:w="7056"/>
        <w:gridCol w:w="2448"/>
      </w:tblGrid>
      <w:tr>
        <w:tc>
          <w:tcPr>
            <w:tcW w:type="dxa" w:w="720"/>
            <w:tcBorders>
              <w:top w:val="single" w:sz="4" w:color="D9D9D9"/>
              <w:bottom w:val="single" w:sz="4" w:color="D9D9D9"/>
              <w:left w:val="single" w:sz="4" w:color="D9D9D9"/>
              <w:right w:val="single" w:sz="4" w:color="D9D9D9"/>
            </w:tcBorders>
            <w:shd w:fill="E8EBEF"/>
          </w:tcPr>
          <w:p>
            <w:pPr>
              <w:spacing w:after="80" w:before="80"/>
            </w:pPr>
            <w:r>
              <w:rPr>
                <w:rFonts w:ascii="Calibri" w:hAnsi="Calibri"/>
                <w:color w:val="000000"/>
                <w:sz w:val="20"/>
              </w:rPr>
              <w:t>Select</w:t>
            </w:r>
          </w:p>
        </w:tc>
        <w:tc>
          <w:tcPr>
            <w:tcW w:type="dxa" w:w="7056"/>
            <w:tcBorders>
              <w:top w:val="single" w:sz="4" w:color="D9D9D9"/>
              <w:bottom w:val="single" w:sz="4" w:color="D9D9D9"/>
              <w:left w:val="single" w:sz="4" w:color="D9D9D9"/>
              <w:right w:val="single" w:sz="4" w:color="D9D9D9"/>
            </w:tcBorders>
            <w:shd w:fill="E8EBEF"/>
          </w:tcPr>
          <w:p>
            <w:pPr>
              <w:spacing w:after="80" w:before="80"/>
            </w:pPr>
            <w:r>
              <w:rPr>
                <w:rFonts w:ascii="Calibri" w:hAnsi="Calibri"/>
                <w:color w:val="000000"/>
                <w:sz w:val="20"/>
              </w:rPr>
              <w:t>Service</w:t>
            </w:r>
          </w:p>
        </w:tc>
        <w:tc>
          <w:tcPr>
            <w:tcW w:type="dxa" w:w="2448"/>
            <w:tcBorders>
              <w:top w:val="single" w:sz="4" w:color="D9D9D9"/>
              <w:bottom w:val="single" w:sz="4" w:color="D9D9D9"/>
              <w:left w:val="single" w:sz="4" w:color="D9D9D9"/>
              <w:right w:val="single" w:sz="4" w:color="D9D9D9"/>
            </w:tcBorders>
            <w:shd w:fill="E8EBEF"/>
          </w:tcPr>
          <w:p>
            <w:pPr>
              <w:spacing w:after="80" w:before="80"/>
            </w:pPr>
            <w:r>
              <w:rPr>
                <w:rFonts w:ascii="Calibri" w:hAnsi="Calibri"/>
                <w:color w:val="000000"/>
                <w:sz w:val="20"/>
              </w:rPr>
              <w:t>Fee</w:t>
            </w:r>
          </w:p>
        </w:tc>
      </w:tr>
      <w:tr>
        <w:tc>
          <w:tcPr>
            <w:tcW w:type="dxa" w:w="720"/>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 ]</w:t>
            </w:r>
          </w:p>
        </w:tc>
        <w:tc>
          <w:tcPr>
            <w:tcW w:type="dxa" w:w="7056"/>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Small office virtual mock audit (1 location, up to 3 preparers)</w:t>
            </w:r>
          </w:p>
        </w:tc>
        <w:tc>
          <w:tcPr>
            <w:tcW w:type="dxa" w:w="2448"/>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$799</w:t>
            </w:r>
          </w:p>
        </w:tc>
      </w:tr>
      <w:tr>
        <w:tc>
          <w:tcPr>
            <w:tcW w:type="dxa" w:w="720"/>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 ]</w:t>
            </w:r>
          </w:p>
        </w:tc>
        <w:tc>
          <w:tcPr>
            <w:tcW w:type="dxa" w:w="7056"/>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Standard office virtual mock audit (1 location, 4–10 preparers)</w:t>
            </w:r>
          </w:p>
        </w:tc>
        <w:tc>
          <w:tcPr>
            <w:tcW w:type="dxa" w:w="2448"/>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$1,299</w:t>
            </w:r>
          </w:p>
        </w:tc>
      </w:tr>
      <w:tr>
        <w:tc>
          <w:tcPr>
            <w:tcW w:type="dxa" w:w="720"/>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 ]</w:t>
            </w:r>
          </w:p>
        </w:tc>
        <w:tc>
          <w:tcPr>
            <w:tcW w:type="dxa" w:w="7056"/>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On-Site Tax Office Audit</w:t>
              <w:br/>
              <w:t>One location, physical office assessment and document review</w:t>
            </w:r>
          </w:p>
        </w:tc>
        <w:tc>
          <w:tcPr>
            <w:tcW w:type="dxa" w:w="2448"/>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Starting at $1,799</w:t>
            </w:r>
          </w:p>
        </w:tc>
      </w:tr>
      <w:tr>
        <w:tc>
          <w:tcPr>
            <w:tcW w:type="dxa" w:w="720"/>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 ]</w:t>
            </w:r>
          </w:p>
        </w:tc>
        <w:tc>
          <w:tcPr>
            <w:tcW w:type="dxa" w:w="7056"/>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Multi-Location or Complex Audit</w:t>
              <w:br/>
              <w:t>Multiple locations, larger teams, or expanded scope</w:t>
            </w:r>
          </w:p>
        </w:tc>
        <w:tc>
          <w:tcPr>
            <w:tcW w:type="dxa" w:w="2448"/>
            <w:tcBorders>
              <w:top w:val="single" w:sz="4" w:color="D9D9D9"/>
              <w:bottom w:val="single" w:sz="4" w:color="D9D9D9"/>
              <w:left w:val="single" w:sz="4" w:color="D9D9D9"/>
              <w:right w:val="single" w:sz="4" w:color="D9D9D9"/>
            </w:tcBorders>
            <w:shd w:fill="FFFFFF"/>
          </w:tcPr>
          <w:p>
            <w:pPr>
              <w:spacing w:after="80" w:before="80"/>
            </w:pPr>
            <w:r>
              <w:rPr>
                <w:rFonts w:ascii="Calibri" w:hAnsi="Calibri"/>
                <w:color w:val="000000"/>
                <w:sz w:val="20"/>
              </w:rPr>
              <w:t>Custom quote</w:t>
            </w:r>
          </w:p>
        </w:tc>
      </w:tr>
    </w:tbl>
    <w:p>
      <w:pPr>
        <w:widowControl/>
        <w:spacing w:after="120" w:before="0" w:line="252" w:lineRule="auto"/>
      </w:pPr>
      <w:r>
        <w:rPr>
          <w:rFonts w:ascii="Calibri" w:hAnsi="Calibri"/>
          <w:color w:val="000000"/>
          <w:sz w:val="21"/>
        </w:rPr>
        <w:t>Agreed total fee: $____________   Approved travel expenses: $____________</w:t>
        <w:br/>
        <w:t>50% deposit: $____________   Remaining 50%: $____________</w:t>
        <w:br/>
        <w:t>Office location(s): ______________________________________________________________</w:t>
        <w:br/>
        <w:t>Jurisdiction and review period: __________________________________________________</w:t>
        <w:br/>
        <w:t>Client-file sample size and selection: ______________________________________________</w:t>
      </w:r>
    </w:p>
    <w:p>
      <w:pPr>
        <w:pStyle w:val="Heading1"/>
        <w:widowControl/>
        <w:spacing w:after="120" w:before="160" w:line="252" w:lineRule="auto"/>
      </w:pPr>
      <w:r>
        <w:rPr>
          <w:rFonts w:ascii="Calibri" w:hAnsi="Calibri"/>
          <w:b/>
          <w:color w:val="000000"/>
          <w:sz w:val="24"/>
        </w:rPr>
        <w:t>2. Services included</w:t>
      </w:r>
    </w:p>
    <w:p>
      <w:pPr>
        <w:widowControl/>
        <w:spacing w:after="120" w:before="0" w:line="252" w:lineRule="auto"/>
      </w:pPr>
      <w:r>
        <w:rPr>
          <w:rFonts w:ascii="Calibri" w:hAnsi="Calibri"/>
          <w:color w:val="000000"/>
          <w:sz w:val="21"/>
        </w:rPr>
        <w:t>The Firm will perform a limited-scope, independent mock audit of the Client’s tax preparation office, as applicable to the selected package: business registration and setup documentation; operational workflows and controls; written policies and procedures; client intake and recordkeeping; taxpayer information safeguards and security documentation; staff credential/training documentation; and relevant tax-preparer compliance processes. The Firm will assess only the records, access, personnel, locations, and evidence made available during the engagement.</w:t>
      </w:r>
    </w:p>
    <w:p>
      <w:pPr>
        <w:widowControl/>
        <w:spacing w:after="120" w:before="0" w:line="252" w:lineRule="auto"/>
      </w:pPr>
      <w:r>
        <w:rPr>
          <w:rFonts w:ascii="Calibri" w:hAnsi="Calibri"/>
          <w:color w:val="000000"/>
          <w:sz w:val="21"/>
        </w:rPr>
        <w:t>Deliverables: (a) a written findings report identifying observations and prioritized gaps; and (b) a corrective-action recommendation list. A remote assessment does not independently verify physical safeguards or practices that cannot be observed remotely.</w:t>
      </w:r>
    </w:p>
    <w:p>
      <w:pPr>
        <w:pStyle w:val="Heading1"/>
        <w:widowControl/>
        <w:spacing w:after="120" w:before="160" w:line="252" w:lineRule="auto"/>
      </w:pPr>
      <w:r>
        <w:rPr>
          <w:rFonts w:ascii="Calibri" w:hAnsi="Calibri"/>
          <w:b/>
          <w:color w:val="000000"/>
          <w:sz w:val="24"/>
        </w:rPr>
        <w:t>3. Services excluded and additional work</w:t>
      </w:r>
    </w:p>
    <w:p>
      <w:pPr>
        <w:widowControl/>
        <w:spacing w:after="120" w:before="0" w:line="252" w:lineRule="auto"/>
      </w:pPr>
      <w:r>
        <w:rPr>
          <w:rFonts w:ascii="Calibri" w:hAnsi="Calibri"/>
          <w:color w:val="000000"/>
          <w:sz w:val="21"/>
        </w:rPr>
        <w:t>This engagement does NOT include drafting or implementing corrective policies, preparing tax returns, legal advice, representation before any agency, penetration testing, certification, an official IRS or FTC audit, or any guarantee of regulatory compliance. Document creation, remediation, staff training, repeat visits, and follow-up implementation are separate services requiring a written scope and fee approved by Client. The Institute’s $199.99 introductory do-it-yourself program is separate from this agreement and subject to the Institute’s launch clearance.</w:t>
      </w:r>
    </w:p>
    <w:p>
      <w:pPr>
        <w:pStyle w:val="Heading1"/>
        <w:widowControl/>
        <w:spacing w:after="120" w:before="160" w:line="252" w:lineRule="auto"/>
      </w:pPr>
      <w:r>
        <w:rPr>
          <w:rFonts w:ascii="Calibri" w:hAnsi="Calibri"/>
          <w:b/>
          <w:color w:val="000000"/>
          <w:sz w:val="24"/>
        </w:rPr>
        <w:t>4. Client responsibilities</w:t>
      </w:r>
    </w:p>
    <w:p>
      <w:pPr>
        <w:widowControl/>
        <w:spacing w:after="120" w:before="0" w:line="252" w:lineRule="auto"/>
      </w:pPr>
      <w:r>
        <w:rPr>
          <w:rFonts w:ascii="Calibri" w:hAnsi="Calibri"/>
          <w:color w:val="000000"/>
          <w:sz w:val="21"/>
        </w:rPr>
        <w:t>Client will designate a point of contact, provide timely and accurate information, obtain necessary permissions, and make personnel and relevant records available. Client must redact or securely transfer taxpayer and other sensitive personal information; do not send Social Security numbers, unredacted tax returns, account credentials, or financial records by ordinary email. The Firm may pause work if secure access or sufficient evidence is unavailable.</w:t>
      </w:r>
    </w:p>
    <w:p>
      <w:pPr>
        <w:pStyle w:val="Heading1"/>
        <w:widowControl/>
        <w:spacing w:after="120" w:before="160" w:line="252" w:lineRule="auto"/>
      </w:pPr>
      <w:r>
        <w:rPr>
          <w:rFonts w:ascii="Calibri" w:hAnsi="Calibri"/>
          <w:b/>
          <w:color w:val="000000"/>
          <w:sz w:val="24"/>
        </w:rPr>
        <w:t>5. Scheduling, delivery, and payment</w:t>
      </w:r>
    </w:p>
    <w:p>
      <w:pPr>
        <w:widowControl/>
        <w:spacing w:after="120" w:before="0" w:line="252" w:lineRule="auto"/>
      </w:pPr>
      <w:r>
        <w:rPr>
          <w:rFonts w:ascii="Calibri" w:hAnsi="Calibri"/>
          <w:color w:val="000000"/>
          <w:sz w:val="21"/>
        </w:rPr>
        <w:t>A 50% deposit is due upon signing to reserve the engagement; the remaining 50% is due when the draft findings report is ready, before delivery of the final report. Work begins after the signed agreement, deposit and requested intake materials are received. The Firm will provide a target completion date in writing after confirming document volume and availability. Changes to scope or material delays require a revised schedule and written change order. Signing this agreement does not authorize automatic card charges.</w:t>
      </w:r>
    </w:p>
    <w:p>
      <w:pPr>
        <w:pStyle w:val="Heading1"/>
        <w:widowControl/>
        <w:spacing w:after="120" w:before="160" w:line="252" w:lineRule="auto"/>
      </w:pPr>
      <w:r>
        <w:rPr>
          <w:rFonts w:ascii="Calibri" w:hAnsi="Calibri"/>
          <w:b/>
          <w:color w:val="000000"/>
          <w:sz w:val="24"/>
        </w:rPr>
        <w:t>6. Confidentiality and data protection</w:t>
      </w:r>
    </w:p>
    <w:p>
      <w:pPr>
        <w:widowControl/>
        <w:spacing w:after="120" w:before="0" w:line="252" w:lineRule="auto"/>
      </w:pPr>
      <w:r>
        <w:rPr>
          <w:rFonts w:ascii="Calibri" w:hAnsi="Calibri"/>
          <w:color w:val="000000"/>
          <w:sz w:val="21"/>
        </w:rPr>
        <w:t>Each party will use nonpublic information received for this engagement only and restrict access to persons who need it for the work, except as required by law. The Firm will use reasonable safeguards for information in its possession. Client remains responsible for authorizing any disclosure of taxpayer information, including obtaining any consent required by law. The parties will agree on an appropriate secure method for exchanging sensitive records before transfer.</w:t>
      </w:r>
    </w:p>
    <w:p>
      <w:pPr>
        <w:pStyle w:val="Heading1"/>
        <w:widowControl/>
        <w:spacing w:after="120" w:before="160" w:line="252" w:lineRule="auto"/>
      </w:pPr>
      <w:r>
        <w:rPr>
          <w:rFonts w:ascii="Calibri" w:hAnsi="Calibri"/>
          <w:b/>
          <w:color w:val="000000"/>
          <w:sz w:val="24"/>
        </w:rPr>
        <w:t>7. Findings and reliance</w:t>
      </w:r>
    </w:p>
    <w:p>
      <w:pPr>
        <w:widowControl/>
        <w:spacing w:after="120" w:before="0" w:line="252" w:lineRule="auto"/>
      </w:pPr>
      <w:r>
        <w:rPr>
          <w:rFonts w:ascii="Calibri" w:hAnsi="Calibri"/>
          <w:color w:val="000000"/>
          <w:sz w:val="21"/>
        </w:rPr>
        <w:t>Findings reflect a point-in-time review of a defined sample and information provided; they are not an exhaustive inspection or a warranty that every issue will be discovered. Client remains responsible for compliance decisions and implementation. Client may use the final report internally; it may not represent the report as a government approval or official certification.</w:t>
      </w:r>
    </w:p>
    <w:p>
      <w:pPr>
        <w:pStyle w:val="Heading1"/>
        <w:widowControl/>
        <w:spacing w:after="120" w:before="160" w:line="252" w:lineRule="auto"/>
      </w:pPr>
      <w:r>
        <w:rPr>
          <w:rFonts w:ascii="Calibri" w:hAnsi="Calibri"/>
          <w:b/>
          <w:color w:val="000000"/>
          <w:sz w:val="24"/>
        </w:rPr>
        <w:t>8. Changes, cancellation, and disputes</w:t>
      </w:r>
    </w:p>
    <w:p>
      <w:pPr>
        <w:widowControl/>
        <w:spacing w:after="120" w:before="0" w:line="252" w:lineRule="auto"/>
      </w:pPr>
      <w:r>
        <w:rPr>
          <w:rFonts w:ascii="Calibri" w:hAnsi="Calibri"/>
          <w:color w:val="000000"/>
          <w:sz w:val="21"/>
        </w:rPr>
        <w:t>Either party may request rescheduling in writing. If Client cancels after work begins, the Firm may retain fees for documented work performed and nonrefundable approved expenses, and will refund any unearned prepaid amount. Any material change requires written agreement. Texas law governs this agreement, subject to applicable mandatory law. The parties will first attempt in good faith to resolve disputes informally before filing suit.</w:t>
      </w:r>
    </w:p>
    <w:p>
      <w:pPr>
        <w:pStyle w:val="Heading1"/>
        <w:widowControl/>
        <w:spacing w:after="120" w:before="160" w:line="252" w:lineRule="auto"/>
      </w:pPr>
      <w:r>
        <w:rPr>
          <w:rFonts w:ascii="Calibri" w:hAnsi="Calibri"/>
          <w:b/>
          <w:color w:val="000000"/>
          <w:sz w:val="24"/>
        </w:rPr>
        <w:t>9. Entire agreement and signatures</w:t>
      </w:r>
    </w:p>
    <w:p>
      <w:pPr>
        <w:widowControl/>
        <w:spacing w:after="120" w:before="0" w:line="252" w:lineRule="auto"/>
      </w:pPr>
      <w:r>
        <w:rPr>
          <w:rFonts w:ascii="Calibri" w:hAnsi="Calibri"/>
          <w:color w:val="000000"/>
          <w:sz w:val="21"/>
        </w:rPr>
        <w:t>This agreement, together with any signed scope exhibit or change order, is the entire agreement. Changes must be agreed to in writing. Electronic signatures and counterparts are acceptable.</w:t>
      </w:r>
    </w:p>
    <w:p>
      <w:pPr>
        <w:widowControl/>
        <w:spacing w:after="120" w:before="0" w:line="252" w:lineRule="auto"/>
      </w:pPr>
      <w:r>
        <w:rPr>
          <w:rFonts w:ascii="Calibri" w:hAnsi="Calibri"/>
          <w:color w:val="000000"/>
          <w:sz w:val="21"/>
        </w:rPr>
        <w:t>CLIENT: __________________________________  Date: __________</w:t>
        <w:br/>
        <w:t>Name / Title: ___________________________________________________</w:t>
      </w:r>
    </w:p>
    <w:p>
      <w:pPr>
        <w:widowControl/>
        <w:spacing w:after="120" w:before="0" w:line="252" w:lineRule="auto"/>
      </w:pPr>
      <w:r>
        <w:rPr>
          <w:rFonts w:ascii="Calibri" w:hAnsi="Calibri"/>
          <w:color w:val="000000"/>
          <w:sz w:val="21"/>
        </w:rPr>
        <w:t>THE AUXILIUM FIRM: ________________________  Date: __________</w:t>
        <w:br/>
        <w:t>Authorized representative: _________________________________________</w:t>
      </w:r>
    </w:p>
    <w:p>
      <w:pPr>
        <w:pStyle w:val="Caption"/>
        <w:widowControl/>
        <w:spacing w:after="120" w:before="0" w:line="252" w:lineRule="auto"/>
      </w:pPr>
      <w:r>
        <w:rPr>
          <w:rFonts w:ascii="Calibri" w:hAnsi="Calibri"/>
          <w:color w:val="000000"/>
          <w:sz w:val="21"/>
        </w:rPr>
        <w:t>Contact@theauxiliumfirm.com | TheAuxiliumFirm.com</w:t>
        <w:br/>
        <w:t>Book a consultation: https://scheduler.zoom.us/theauxilium-firm/business-contract</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